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69A" w:rsidRDefault="007118E3">
      <w:pPr>
        <w:pStyle w:val="berschrift2"/>
        <w:pBdr>
          <w:top w:val="thinThickLargeGap" w:sz="24" w:space="6" w:color="auto"/>
          <w:bottom w:val="thickThinLargeGap" w:sz="24" w:space="7" w:color="auto"/>
        </w:pBdr>
        <w:tabs>
          <w:tab w:val="clear" w:pos="9498"/>
        </w:tabs>
        <w:rPr>
          <w:rFonts w:ascii="Arial" w:hAnsi="Arial" w:cs="Arial"/>
          <w:sz w:val="33"/>
          <w:szCs w:val="33"/>
        </w:rPr>
      </w:pPr>
      <w:r>
        <w:rPr>
          <w:rFonts w:ascii="Arial" w:hAnsi="Arial" w:cs="Arial"/>
          <w:sz w:val="33"/>
          <w:szCs w:val="33"/>
        </w:rPr>
        <w:tab/>
        <w:t>Ergänzende Besondere Vertragsbedingungen (VOB)</w:t>
      </w:r>
    </w:p>
    <w:p w:rsidR="00A4169A" w:rsidRDefault="00A4169A">
      <w:pPr>
        <w:ind w:left="426" w:hanging="426"/>
        <w:jc w:val="both"/>
        <w:rPr>
          <w:sz w:val="18"/>
          <w:szCs w:val="18"/>
        </w:rPr>
      </w:pPr>
    </w:p>
    <w:p w:rsidR="00A4169A" w:rsidRDefault="007118E3">
      <w:pPr>
        <w:ind w:left="426" w:hanging="426"/>
        <w:jc w:val="right"/>
        <w:rPr>
          <w:rFonts w:ascii="Arial" w:hAnsi="Arial" w:cs="Arial"/>
          <w:b/>
          <w:sz w:val="18"/>
          <w:szCs w:val="18"/>
          <w:u w:val="single"/>
        </w:rPr>
      </w:pPr>
      <w:r>
        <w:rPr>
          <w:rFonts w:ascii="Arial" w:hAnsi="Arial" w:cs="Arial"/>
          <w:b/>
          <w:sz w:val="18"/>
          <w:szCs w:val="18"/>
          <w:u w:val="single"/>
        </w:rPr>
        <w:t>Die §§ beziehen sich auf die Allgemeinen Vertragsbedingungen für die Ausführung von Bauleistungen (VOB/B).</w:t>
      </w:r>
    </w:p>
    <w:p w:rsidR="00A4169A" w:rsidRDefault="00A4169A">
      <w:pPr>
        <w:ind w:left="426" w:hanging="426"/>
        <w:jc w:val="both"/>
        <w:rPr>
          <w:rFonts w:ascii="Arial" w:hAnsi="Arial" w:cs="Arial"/>
          <w:sz w:val="18"/>
          <w:szCs w:val="18"/>
        </w:rPr>
      </w:pPr>
    </w:p>
    <w:tbl>
      <w:tblPr>
        <w:tblW w:w="0" w:type="auto"/>
        <w:jc w:val="right"/>
        <w:tblLayout w:type="fixed"/>
        <w:tblCellMar>
          <w:left w:w="0" w:type="dxa"/>
          <w:right w:w="0" w:type="dxa"/>
        </w:tblCellMar>
        <w:tblLook w:val="0000" w:firstRow="0" w:lastRow="0" w:firstColumn="0" w:lastColumn="0" w:noHBand="0" w:noVBand="0"/>
      </w:tblPr>
      <w:tblGrid>
        <w:gridCol w:w="9923"/>
      </w:tblGrid>
      <w:tr w:rsidR="00A4169A">
        <w:trPr>
          <w:cantSplit/>
          <w:jc w:val="right"/>
        </w:trPr>
        <w:tc>
          <w:tcPr>
            <w:tcW w:w="9923" w:type="dxa"/>
            <w:vAlign w:val="center"/>
          </w:tcPr>
          <w:p w:rsidR="00A4169A" w:rsidRDefault="007118E3">
            <w:pPr>
              <w:tabs>
                <w:tab w:val="left" w:pos="1700"/>
              </w:tabs>
              <w:spacing w:before="80" w:after="80"/>
              <w:ind w:left="426" w:hanging="426"/>
              <w:rPr>
                <w:rFonts w:ascii="Arial" w:hAnsi="Arial" w:cs="Arial"/>
                <w:b/>
                <w:bCs/>
                <w:sz w:val="18"/>
                <w:szCs w:val="18"/>
              </w:rPr>
            </w:pPr>
            <w:r>
              <w:rPr>
                <w:rFonts w:ascii="Arial" w:hAnsi="Arial" w:cs="Arial"/>
                <w:noProof/>
                <w:sz w:val="18"/>
                <w:szCs w:val="18"/>
              </w:rPr>
              <mc:AlternateContent>
                <mc:Choice Requires="wps">
                  <w:drawing>
                    <wp:anchor distT="0" distB="0" distL="114300" distR="114300" simplePos="0" relativeHeight="251658752" behindDoc="0" locked="0" layoutInCell="1" allowOverlap="1">
                      <wp:simplePos x="0" y="0"/>
                      <wp:positionH relativeFrom="column">
                        <wp:align>right</wp:align>
                      </wp:positionH>
                      <wp:positionV relativeFrom="paragraph">
                        <wp:posOffset>198120</wp:posOffset>
                      </wp:positionV>
                      <wp:extent cx="5255895" cy="0"/>
                      <wp:effectExtent l="0" t="0" r="0" b="0"/>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5895" cy="0"/>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5861EA4" id="Line 17" o:spid="_x0000_s1026" style="position:absolute;z-index:251658752;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from="362.65pt,15.6pt" to="77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">
                      <v:stroke dashstyle="1 1"/>
                    </v:line>
                  </w:pict>
                </mc:Fallback>
              </mc:AlternateContent>
            </w:r>
            <w:r>
              <w:rPr>
                <w:rFonts w:ascii="Arial" w:hAnsi="Arial" w:cs="Arial"/>
                <w:b/>
                <w:bCs/>
                <w:sz w:val="18"/>
                <w:szCs w:val="18"/>
              </w:rPr>
              <w:t>Baumaßnahme:</w:t>
            </w:r>
            <w:r>
              <w:rPr>
                <w:rFonts w:ascii="Arial" w:hAnsi="Arial" w:cs="Arial"/>
                <w:b/>
                <w:bCs/>
                <w:sz w:val="18"/>
                <w:szCs w:val="18"/>
              </w:rPr>
              <w:tab/>
            </w:r>
            <w:r w:rsidR="00B71C8D">
              <w:rPr>
                <w:rFonts w:ascii="Arial" w:hAnsi="Arial" w:cs="Arial"/>
                <w:bCs/>
                <w:sz w:val="18"/>
                <w:szCs w:val="18"/>
              </w:rPr>
              <w:t>Grundhafte Erneuerung Radwege</w:t>
            </w:r>
          </w:p>
        </w:tc>
      </w:tr>
      <w:tr w:rsidR="00A4169A">
        <w:trPr>
          <w:cantSplit/>
          <w:jc w:val="right"/>
        </w:trPr>
        <w:tc>
          <w:tcPr>
            <w:tcW w:w="9923" w:type="dxa"/>
            <w:vAlign w:val="center"/>
          </w:tcPr>
          <w:p w:rsidR="00A4169A" w:rsidRDefault="007118E3">
            <w:pPr>
              <w:tabs>
                <w:tab w:val="left" w:pos="1700"/>
              </w:tabs>
              <w:spacing w:before="80" w:after="80"/>
              <w:ind w:left="426" w:hanging="426"/>
              <w:rPr>
                <w:rFonts w:ascii="Arial" w:hAnsi="Arial" w:cs="Arial"/>
                <w:b/>
                <w:bCs/>
                <w:sz w:val="18"/>
                <w:szCs w:val="18"/>
              </w:rPr>
            </w:pPr>
            <w:r>
              <w:rPr>
                <w:rFonts w:ascii="Arial" w:hAnsi="Arial" w:cs="Arial"/>
                <w:noProof/>
                <w:sz w:val="18"/>
                <w:szCs w:val="18"/>
              </w:rPr>
              <mc:AlternateContent>
                <mc:Choice Requires="wps">
                  <w:drawing>
                    <wp:anchor distT="0" distB="0" distL="114300" distR="114300" simplePos="0" relativeHeight="251655680" behindDoc="0" locked="0" layoutInCell="1" allowOverlap="1">
                      <wp:simplePos x="0" y="0"/>
                      <wp:positionH relativeFrom="column">
                        <wp:align>right</wp:align>
                      </wp:positionH>
                      <wp:positionV relativeFrom="paragraph">
                        <wp:posOffset>198120</wp:posOffset>
                      </wp:positionV>
                      <wp:extent cx="5255895" cy="0"/>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5895"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54C690" id="Line 5" o:spid="_x0000_s1026" style="position:absolute;z-index:25165568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from="362.65pt,15.6pt" to="77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">
                      <v:stroke dashstyle="1 1"/>
                    </v:line>
                  </w:pict>
                </mc:Fallback>
              </mc:AlternateContent>
            </w:r>
            <w:r>
              <w:rPr>
                <w:rFonts w:ascii="Arial" w:hAnsi="Arial" w:cs="Arial"/>
                <w:b/>
                <w:bCs/>
                <w:sz w:val="18"/>
                <w:szCs w:val="18"/>
              </w:rPr>
              <w:t>Ausführungsort:</w:t>
            </w:r>
            <w:r>
              <w:rPr>
                <w:rFonts w:ascii="Arial" w:hAnsi="Arial" w:cs="Arial"/>
                <w:b/>
                <w:bCs/>
                <w:sz w:val="18"/>
                <w:szCs w:val="18"/>
              </w:rPr>
              <w:tab/>
            </w:r>
            <w:r w:rsidR="006241C2">
              <w:rPr>
                <w:rFonts w:ascii="Arial" w:hAnsi="Arial" w:cs="Arial"/>
                <w:bCs/>
                <w:sz w:val="20"/>
              </w:rPr>
              <w:t xml:space="preserve">Haltern am See, </w:t>
            </w:r>
            <w:r w:rsidR="00AA11B7">
              <w:rPr>
                <w:rFonts w:ascii="Arial" w:hAnsi="Arial" w:cs="Arial"/>
                <w:bCs/>
                <w:sz w:val="20"/>
              </w:rPr>
              <w:t>H</w:t>
            </w:r>
            <w:r w:rsidR="00B71C8D">
              <w:rPr>
                <w:rFonts w:ascii="Arial" w:hAnsi="Arial" w:cs="Arial"/>
                <w:bCs/>
                <w:sz w:val="20"/>
              </w:rPr>
              <w:t>ullerner Straße</w:t>
            </w:r>
          </w:p>
        </w:tc>
      </w:tr>
      <w:tr w:rsidR="00A4169A">
        <w:trPr>
          <w:cantSplit/>
          <w:jc w:val="right"/>
        </w:trPr>
        <w:tc>
          <w:tcPr>
            <w:tcW w:w="9923" w:type="dxa"/>
            <w:vAlign w:val="center"/>
          </w:tcPr>
          <w:p w:rsidR="00A4169A" w:rsidRDefault="007118E3">
            <w:pPr>
              <w:tabs>
                <w:tab w:val="left" w:pos="1700"/>
              </w:tabs>
              <w:spacing w:before="80" w:after="80"/>
              <w:ind w:left="426" w:hanging="426"/>
              <w:rPr>
                <w:rFonts w:ascii="Arial" w:hAnsi="Arial" w:cs="Arial"/>
                <w:b/>
                <w:bCs/>
                <w:sz w:val="18"/>
                <w:szCs w:val="18"/>
              </w:rPr>
            </w:pPr>
            <w:r>
              <w:rPr>
                <w:rFonts w:ascii="Arial" w:hAnsi="Arial" w:cs="Arial"/>
                <w:noProof/>
                <w:sz w:val="18"/>
                <w:szCs w:val="18"/>
              </w:rPr>
              <mc:AlternateContent>
                <mc:Choice Requires="wps">
                  <w:drawing>
                    <wp:anchor distT="0" distB="0" distL="114300" distR="114300" simplePos="0" relativeHeight="251657728" behindDoc="0" locked="0" layoutInCell="1" allowOverlap="1">
                      <wp:simplePos x="0" y="0"/>
                      <wp:positionH relativeFrom="column">
                        <wp:align>right</wp:align>
                      </wp:positionH>
                      <wp:positionV relativeFrom="paragraph">
                        <wp:posOffset>198120</wp:posOffset>
                      </wp:positionV>
                      <wp:extent cx="5255895" cy="0"/>
                      <wp:effectExtent l="0" t="0" r="0" b="0"/>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5895" cy="0"/>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AD8180E" id="Line 16" o:spid="_x0000_s1026" style="position:absolute;flip:y;z-index:251657728;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from="362.65pt,15.6pt" to="77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">
                      <v:stroke dashstyle="1 1"/>
                    </v:line>
                  </w:pict>
                </mc:Fallback>
              </mc:AlternateContent>
            </w:r>
            <w:r>
              <w:rPr>
                <w:rFonts w:ascii="Arial" w:hAnsi="Arial" w:cs="Arial"/>
                <w:b/>
                <w:bCs/>
                <w:sz w:val="18"/>
                <w:szCs w:val="18"/>
              </w:rPr>
              <w:t>Angebot für:</w:t>
            </w:r>
            <w:r>
              <w:rPr>
                <w:rFonts w:ascii="Arial" w:hAnsi="Arial" w:cs="Arial"/>
                <w:b/>
                <w:bCs/>
                <w:sz w:val="18"/>
                <w:szCs w:val="18"/>
              </w:rPr>
              <w:tab/>
            </w:r>
            <w:r w:rsidR="00B71C8D">
              <w:rPr>
                <w:rFonts w:ascii="Arial" w:hAnsi="Arial" w:cs="Arial"/>
                <w:bCs/>
                <w:sz w:val="20"/>
              </w:rPr>
              <w:t>Straßenbauarbeiten</w:t>
            </w:r>
            <w:bookmarkStart w:id="0" w:name="_GoBack"/>
            <w:bookmarkEnd w:id="0"/>
          </w:p>
        </w:tc>
      </w:tr>
    </w:tbl>
    <w:p w:rsidR="00A4169A" w:rsidRDefault="00A4169A">
      <w:pPr>
        <w:ind w:left="426" w:hanging="426"/>
        <w:jc w:val="both"/>
        <w:rPr>
          <w:sz w:val="18"/>
          <w:szCs w:val="18"/>
        </w:rPr>
      </w:pPr>
    </w:p>
    <w:p w:rsidR="00A4169A" w:rsidRDefault="007118E3">
      <w:pPr>
        <w:numPr>
          <w:ilvl w:val="0"/>
          <w:numId w:val="1"/>
        </w:numPr>
        <w:tabs>
          <w:tab w:val="clear" w:pos="425"/>
        </w:tabs>
        <w:spacing w:before="60"/>
        <w:ind w:left="426" w:hanging="426"/>
        <w:jc w:val="both"/>
        <w:rPr>
          <w:sz w:val="18"/>
          <w:szCs w:val="18"/>
          <w:u w:val="single"/>
        </w:rPr>
      </w:pPr>
      <w:r>
        <w:rPr>
          <w:b/>
          <w:bCs/>
          <w:sz w:val="18"/>
          <w:szCs w:val="18"/>
          <w:u w:val="single"/>
        </w:rPr>
        <w:t>Ausführungsunterlagen</w:t>
      </w:r>
      <w:r>
        <w:rPr>
          <w:sz w:val="18"/>
          <w:szCs w:val="18"/>
          <w:u w:val="single"/>
        </w:rPr>
        <w:t xml:space="preserve"> </w:t>
      </w:r>
      <w:r>
        <w:rPr>
          <w:b/>
          <w:sz w:val="18"/>
          <w:szCs w:val="18"/>
          <w:u w:val="single"/>
        </w:rPr>
        <w:t>(§ 3)</w:t>
      </w:r>
    </w:p>
    <w:p w:rsidR="00A4169A" w:rsidRDefault="007118E3">
      <w:pPr>
        <w:numPr>
          <w:ilvl w:val="1"/>
          <w:numId w:val="1"/>
        </w:numPr>
        <w:ind w:left="426" w:hanging="426"/>
        <w:jc w:val="both"/>
        <w:rPr>
          <w:sz w:val="18"/>
          <w:szCs w:val="18"/>
        </w:rPr>
      </w:pPr>
      <w:r>
        <w:rPr>
          <w:sz w:val="18"/>
          <w:szCs w:val="18"/>
        </w:rPr>
        <w:tab/>
        <w:t xml:space="preserve">Alle in den Zeichnungen angegebenen Maße sind vor Inangriffnahme zu prüfen. Etwaige Unstimmigkeiten </w:t>
      </w:r>
      <w:r>
        <w:rPr>
          <w:sz w:val="18"/>
          <w:szCs w:val="18"/>
        </w:rPr>
        <w:tab/>
        <w:t>sind sofort schrift</w:t>
      </w:r>
      <w:r>
        <w:rPr>
          <w:sz w:val="18"/>
          <w:szCs w:val="18"/>
        </w:rPr>
        <w:softHyphen/>
        <w:t>lich zu melden.</w:t>
      </w:r>
    </w:p>
    <w:p w:rsidR="00A4169A" w:rsidRDefault="007118E3">
      <w:pPr>
        <w:numPr>
          <w:ilvl w:val="1"/>
          <w:numId w:val="1"/>
        </w:numPr>
        <w:ind w:left="426" w:hanging="426"/>
        <w:jc w:val="both"/>
        <w:rPr>
          <w:sz w:val="18"/>
          <w:szCs w:val="18"/>
        </w:rPr>
      </w:pPr>
      <w:r>
        <w:rPr>
          <w:sz w:val="18"/>
          <w:szCs w:val="18"/>
        </w:rPr>
        <w:tab/>
        <w:t xml:space="preserve">Alle Zeichnungen und sonstigen Planunterlagen müssen den Vermerk tragen </w:t>
      </w:r>
      <w:r>
        <w:rPr>
          <w:sz w:val="18"/>
          <w:szCs w:val="18"/>
        </w:rPr>
        <w:br/>
        <w:t xml:space="preserve">“Zur Ausführung freigegeben - </w:t>
      </w:r>
      <w:r>
        <w:rPr>
          <w:sz w:val="18"/>
          <w:szCs w:val="18"/>
        </w:rPr>
        <w:fldChar w:fldCharType="begin">
          <w:ffData>
            <w:name w:val="Text8"/>
            <w:enabled/>
            <w:calcOnExit w:val="0"/>
            <w:textInput>
              <w:default w:val="Bauamt"/>
            </w:textInput>
          </w:ffData>
        </w:fldChar>
      </w:r>
      <w:bookmarkStart w:id="1" w:name="Text8"/>
      <w:r>
        <w:rPr>
          <w:sz w:val="18"/>
          <w:szCs w:val="18"/>
        </w:rPr>
        <w:instrText xml:space="preserve"> FORMTEXT </w:instrText>
      </w:r>
      <w:r>
        <w:rPr>
          <w:sz w:val="18"/>
          <w:szCs w:val="18"/>
        </w:rPr>
      </w:r>
      <w:r>
        <w:rPr>
          <w:sz w:val="18"/>
          <w:szCs w:val="18"/>
        </w:rPr>
        <w:fldChar w:fldCharType="separate"/>
      </w:r>
      <w:r>
        <w:rPr>
          <w:noProof/>
          <w:sz w:val="18"/>
          <w:szCs w:val="18"/>
        </w:rPr>
        <w:t>Bauamt</w:t>
      </w:r>
      <w:r>
        <w:rPr>
          <w:sz w:val="18"/>
          <w:szCs w:val="18"/>
        </w:rPr>
        <w:fldChar w:fldCharType="end"/>
      </w:r>
      <w:bookmarkEnd w:id="1"/>
      <w:r>
        <w:rPr>
          <w:sz w:val="18"/>
          <w:szCs w:val="18"/>
        </w:rPr>
        <w:t>“.</w:t>
      </w:r>
    </w:p>
    <w:p w:rsidR="00A4169A" w:rsidRDefault="007118E3">
      <w:pPr>
        <w:numPr>
          <w:ilvl w:val="0"/>
          <w:numId w:val="1"/>
        </w:numPr>
        <w:tabs>
          <w:tab w:val="clear" w:pos="425"/>
        </w:tabs>
        <w:spacing w:before="60"/>
        <w:ind w:left="426" w:hanging="426"/>
        <w:jc w:val="both"/>
        <w:rPr>
          <w:b/>
          <w:bCs/>
          <w:sz w:val="18"/>
          <w:szCs w:val="18"/>
          <w:u w:val="single"/>
        </w:rPr>
      </w:pPr>
      <w:r>
        <w:rPr>
          <w:b/>
          <w:bCs/>
          <w:sz w:val="18"/>
          <w:szCs w:val="18"/>
          <w:u w:val="single"/>
        </w:rPr>
        <w:t>Ausführung (§ 4)</w:t>
      </w:r>
    </w:p>
    <w:p w:rsidR="00A4169A" w:rsidRDefault="007118E3">
      <w:pPr>
        <w:numPr>
          <w:ilvl w:val="1"/>
          <w:numId w:val="1"/>
        </w:numPr>
        <w:ind w:left="426" w:hanging="426"/>
        <w:jc w:val="both"/>
        <w:rPr>
          <w:sz w:val="18"/>
          <w:szCs w:val="18"/>
        </w:rPr>
      </w:pPr>
      <w:r>
        <w:rPr>
          <w:sz w:val="18"/>
          <w:szCs w:val="18"/>
        </w:rPr>
        <w:tab/>
        <w:t>Die in der Ausschreibung verlangten Fabrikate und Typen sind zu liefern und einzubauen.</w:t>
      </w:r>
    </w:p>
    <w:p w:rsidR="00A4169A" w:rsidRDefault="007118E3">
      <w:pPr>
        <w:ind w:left="426" w:hanging="426"/>
        <w:jc w:val="both"/>
        <w:rPr>
          <w:sz w:val="18"/>
          <w:szCs w:val="18"/>
        </w:rPr>
      </w:pPr>
      <w:r>
        <w:rPr>
          <w:sz w:val="18"/>
          <w:szCs w:val="18"/>
        </w:rPr>
        <w:tab/>
        <w:t>Ausnahmen bedürfen der vorherigen schriftlichen Genehmigung des Auftraggebers.</w:t>
      </w:r>
    </w:p>
    <w:p w:rsidR="00A4169A" w:rsidRDefault="007118E3">
      <w:pPr>
        <w:numPr>
          <w:ilvl w:val="1"/>
          <w:numId w:val="1"/>
        </w:numPr>
        <w:ind w:left="426" w:hanging="426"/>
        <w:jc w:val="both"/>
        <w:rPr>
          <w:sz w:val="18"/>
          <w:szCs w:val="18"/>
        </w:rPr>
      </w:pPr>
      <w:r>
        <w:rPr>
          <w:sz w:val="18"/>
          <w:szCs w:val="18"/>
        </w:rPr>
        <w:tab/>
        <w:t xml:space="preserve">Von den zur Verwendung kommenden Werk- und Baustoffen sind auf Verlangen vor Beginn der Arbeiten kostenlos Probestücke und Materialproben vorzulegen und die Herstellerfirma anzugeben. Der Auftraggeber behält sich das Recht vor, ungeeignete Baustoffe zurückzuweisen. </w:t>
      </w:r>
    </w:p>
    <w:p w:rsidR="00A4169A" w:rsidRDefault="007118E3">
      <w:pPr>
        <w:numPr>
          <w:ilvl w:val="1"/>
          <w:numId w:val="1"/>
        </w:numPr>
        <w:ind w:left="426" w:hanging="426"/>
        <w:jc w:val="both"/>
        <w:rPr>
          <w:sz w:val="18"/>
          <w:szCs w:val="18"/>
        </w:rPr>
      </w:pPr>
      <w:r>
        <w:rPr>
          <w:sz w:val="18"/>
          <w:szCs w:val="18"/>
        </w:rPr>
        <w:tab/>
        <w:t>Der Auftragnehmer hat sich über alle Materialien, die er zu liefern und zu verarbeiten hat, so ausreichende Kenntnisse über alle Eigenschaften zu verschaffen, dass keinerlei Schäden durch die Lieferung und Verarbeitung zum bezweckenden Erfolg gewährleistet ist.</w:t>
      </w:r>
    </w:p>
    <w:p w:rsidR="00A4169A" w:rsidRDefault="007118E3">
      <w:pPr>
        <w:numPr>
          <w:ilvl w:val="1"/>
          <w:numId w:val="1"/>
        </w:numPr>
        <w:ind w:left="426" w:hanging="426"/>
        <w:jc w:val="both"/>
        <w:rPr>
          <w:sz w:val="18"/>
          <w:szCs w:val="18"/>
        </w:rPr>
      </w:pPr>
      <w:r>
        <w:rPr>
          <w:sz w:val="18"/>
          <w:szCs w:val="18"/>
        </w:rPr>
        <w:tab/>
        <w:t>Der Auftraggeber behält sich vor, den fertiggestellten Arbeiten Materialproben zu entnehmen und einer anerkannten Materialprüfungsanstalt zur Prüfung zu übergeben. Sollten sich Mängel ergeben, so gehen die Kosten für die Materialprüfung sowie der Ersatz bzw. Wiedereinbau der Materialproben zu Lasten des Auftragnehmers. Grundsätzlich sind Materialgüteuntersuchungen durch eine Bundesanstalt für Materialprüfung vorzunehmen. Die Prüfungsergebnisse werden vom Auftraggeber und Auftragnehmer als verbindlich anerkannt.</w:t>
      </w:r>
    </w:p>
    <w:p w:rsidR="00A4169A" w:rsidRDefault="007118E3">
      <w:pPr>
        <w:numPr>
          <w:ilvl w:val="1"/>
          <w:numId w:val="1"/>
        </w:numPr>
        <w:ind w:left="426" w:hanging="426"/>
        <w:jc w:val="both"/>
        <w:rPr>
          <w:sz w:val="18"/>
          <w:szCs w:val="18"/>
        </w:rPr>
      </w:pPr>
      <w:r>
        <w:rPr>
          <w:sz w:val="18"/>
          <w:szCs w:val="18"/>
        </w:rPr>
        <w:tab/>
        <w:t>Bauseitig gelieferte Baustoffe hat der Auftragnehmer kostenlos abzuladen und zur Verwendungsstelle zu schaffen. Er hat sie mit der nötigen Sorgfalt zu verwahren und nur für Zwecke der Durchführung des Auftrages sowie nach den Geboten der Wirtschaft</w:t>
      </w:r>
      <w:r>
        <w:rPr>
          <w:sz w:val="18"/>
          <w:szCs w:val="18"/>
        </w:rPr>
        <w:softHyphen/>
        <w:t>lichkeit zu verwenden. (Für abhanden gekommene oder beschädigte Baustoffe hat er dem Auftraggeber Schadenersatz zu leisten).</w:t>
      </w:r>
    </w:p>
    <w:p w:rsidR="00A4169A" w:rsidRDefault="007118E3">
      <w:pPr>
        <w:numPr>
          <w:ilvl w:val="1"/>
          <w:numId w:val="1"/>
        </w:numPr>
        <w:ind w:left="426" w:hanging="426"/>
        <w:jc w:val="both"/>
        <w:rPr>
          <w:sz w:val="18"/>
          <w:szCs w:val="18"/>
        </w:rPr>
      </w:pPr>
      <w:r>
        <w:rPr>
          <w:sz w:val="18"/>
          <w:szCs w:val="18"/>
        </w:rPr>
        <w:tab/>
        <w:t>Bäume und Aufwuchs im Bereich der Baustelle sind zu schützen. Wurzeln und Äste dürfen nur mit Zustimmung des Auftraggebers entfernt oder zurückgeschnitten werden. Es dürfen keine Schlingen um den Stamm oder um die Äste gelegt werden. Baumaterial, Boden oder Chemikalien dürfen nicht im Wurzelbereich von Bäumen gelagert werden. Befahren des Wurzelbereiches von Bäumen mit schweren Fahrzeugen ist nicht zulässig. Für Schäden haftet der Auftragnehmer.</w:t>
      </w:r>
    </w:p>
    <w:p w:rsidR="00A4169A" w:rsidRDefault="007118E3">
      <w:pPr>
        <w:numPr>
          <w:ilvl w:val="1"/>
          <w:numId w:val="1"/>
        </w:numPr>
        <w:ind w:left="426" w:hanging="426"/>
        <w:jc w:val="both"/>
        <w:rPr>
          <w:sz w:val="18"/>
          <w:szCs w:val="18"/>
        </w:rPr>
      </w:pPr>
      <w:r>
        <w:rPr>
          <w:sz w:val="18"/>
          <w:szCs w:val="18"/>
        </w:rPr>
        <w:tab/>
        <w:t xml:space="preserve">Dem Auftragnehmer obliegt die Sauberhaltung der Baustelle. Sämtlicher anfallender Schutt, Schmutz, Abfälle und Verpackungsmaterial sind zu entfernen. Das Verbrennen irgendwelcher Gegenstände auf der Baustelle ist verboten. Sollten sich Schuttmassen ansammeln, werden sie auf Veranlassung der Bauleitung beseitigt. Die hierdurch entstehenden Kosten werden gleichmäßig allen am Bauwerk beteiligten </w:t>
      </w:r>
      <w:proofErr w:type="spellStart"/>
      <w:r>
        <w:rPr>
          <w:sz w:val="18"/>
          <w:szCs w:val="18"/>
        </w:rPr>
        <w:t>Unternehmern</w:t>
      </w:r>
      <w:proofErr w:type="spellEnd"/>
      <w:r>
        <w:rPr>
          <w:sz w:val="18"/>
          <w:szCs w:val="18"/>
        </w:rPr>
        <w:t xml:space="preserve"> in Abzug gebracht, sofern nicht ein Auftragnehmer vor Beginn der Arbeiten auf eine bereits vorhandene Verschmutzung ausdrücklich schriftlich hingewiesen hat. Zuviel abgerufene Materialien sind vor dem Räumen der Baustelle auf Kosten des Auftragnehmers abzufahren.</w:t>
      </w:r>
    </w:p>
    <w:p w:rsidR="00A4169A" w:rsidRDefault="007118E3">
      <w:pPr>
        <w:numPr>
          <w:ilvl w:val="1"/>
          <w:numId w:val="1"/>
        </w:numPr>
        <w:ind w:left="426" w:hanging="426"/>
        <w:jc w:val="both"/>
        <w:rPr>
          <w:sz w:val="18"/>
          <w:szCs w:val="18"/>
        </w:rPr>
      </w:pPr>
      <w:r>
        <w:rPr>
          <w:sz w:val="18"/>
          <w:szCs w:val="18"/>
        </w:rPr>
        <w:tab/>
        <w:t>Sofern Gerüste und Bauzäune zu stellen sind, wird die Standdauer vom Auftraggeber bestimmt. Während der Standdauer sind sie ohne besonderes Entgelt anderen auf der Baustelle tätigen Firmen zur Verfügung zu stellen, die berechtigt sind, die Brettlagen entsprechend ihren Bedürfnissen umzulegen. Die Bauart der Gerüste muss der Gerüstordnung DIN 4420 entsprechen.</w:t>
      </w:r>
    </w:p>
    <w:p w:rsidR="00A4169A" w:rsidRDefault="007118E3">
      <w:pPr>
        <w:numPr>
          <w:ilvl w:val="0"/>
          <w:numId w:val="1"/>
        </w:numPr>
        <w:tabs>
          <w:tab w:val="clear" w:pos="425"/>
        </w:tabs>
        <w:spacing w:before="60"/>
        <w:ind w:left="426" w:hanging="426"/>
        <w:jc w:val="both"/>
        <w:rPr>
          <w:b/>
          <w:bCs/>
          <w:sz w:val="18"/>
          <w:szCs w:val="18"/>
          <w:u w:val="single"/>
        </w:rPr>
      </w:pPr>
      <w:r>
        <w:rPr>
          <w:b/>
          <w:bCs/>
          <w:sz w:val="18"/>
          <w:szCs w:val="18"/>
          <w:u w:val="single"/>
        </w:rPr>
        <w:t>Abnahme (§ 12)</w:t>
      </w:r>
    </w:p>
    <w:p w:rsidR="00A4169A" w:rsidRDefault="007118E3">
      <w:pPr>
        <w:numPr>
          <w:ilvl w:val="1"/>
          <w:numId w:val="1"/>
        </w:numPr>
        <w:tabs>
          <w:tab w:val="left" w:pos="425"/>
        </w:tabs>
        <w:jc w:val="both"/>
        <w:rPr>
          <w:sz w:val="18"/>
          <w:szCs w:val="18"/>
        </w:rPr>
      </w:pPr>
      <w:r>
        <w:rPr>
          <w:sz w:val="18"/>
          <w:szCs w:val="18"/>
        </w:rPr>
        <w:tab/>
        <w:t>Die Abnahme wird gemeinsam vom Auftragnehmer und Auftraggeber vorgenommen und in einem Abnahmeprotokoll schriftlich niedergelegt. Der Auftragnehmer hat die Fertigstellung der Leistung innerhalb von 6 Werktagen nach Beendigung seiner Arbeit schriftlich anzuzeigen. Zum Abnahmetermin wird nach Eingang der Fertigstellungsmeldung geladen.</w:t>
      </w:r>
    </w:p>
    <w:p w:rsidR="00A4169A" w:rsidRDefault="007118E3">
      <w:pPr>
        <w:numPr>
          <w:ilvl w:val="0"/>
          <w:numId w:val="1"/>
        </w:numPr>
        <w:tabs>
          <w:tab w:val="clear" w:pos="425"/>
        </w:tabs>
        <w:spacing w:before="60"/>
        <w:ind w:left="426" w:hanging="426"/>
        <w:jc w:val="both"/>
        <w:rPr>
          <w:b/>
          <w:bCs/>
          <w:sz w:val="18"/>
          <w:szCs w:val="18"/>
          <w:u w:val="single"/>
        </w:rPr>
      </w:pPr>
      <w:r>
        <w:rPr>
          <w:b/>
          <w:bCs/>
          <w:sz w:val="18"/>
          <w:szCs w:val="18"/>
          <w:u w:val="single"/>
        </w:rPr>
        <w:t>Abrechnung (§ 14)</w:t>
      </w:r>
    </w:p>
    <w:p w:rsidR="00A4169A" w:rsidRDefault="007118E3">
      <w:pPr>
        <w:numPr>
          <w:ilvl w:val="1"/>
          <w:numId w:val="1"/>
        </w:numPr>
        <w:jc w:val="both"/>
        <w:rPr>
          <w:sz w:val="18"/>
          <w:szCs w:val="18"/>
        </w:rPr>
      </w:pPr>
      <w:r>
        <w:rPr>
          <w:sz w:val="18"/>
          <w:szCs w:val="18"/>
        </w:rPr>
        <w:tab/>
        <w:t>Der Schlussrechnung sind beizufügen: Aufmaße - Bautagesberichte - Massenberechnungen - bescheinigte Lieferscheine - Stundenlohnzettel - Wiegekarten – Abrechnungszeichnungen, sowie alle Unterlagen, die zum Beweis der Richtigkeit der Rechnung erforderlich sind. Alle Unterlagen sind als Originale einzureichen.</w:t>
      </w:r>
    </w:p>
    <w:p w:rsidR="00A4169A" w:rsidRDefault="007118E3">
      <w:pPr>
        <w:numPr>
          <w:ilvl w:val="0"/>
          <w:numId w:val="1"/>
        </w:numPr>
        <w:tabs>
          <w:tab w:val="clear" w:pos="425"/>
        </w:tabs>
        <w:spacing w:before="60"/>
        <w:ind w:left="426" w:hanging="426"/>
        <w:jc w:val="both"/>
        <w:rPr>
          <w:b/>
          <w:bCs/>
          <w:sz w:val="18"/>
          <w:szCs w:val="18"/>
          <w:u w:val="single"/>
        </w:rPr>
      </w:pPr>
      <w:r>
        <w:rPr>
          <w:b/>
          <w:bCs/>
          <w:sz w:val="18"/>
          <w:szCs w:val="18"/>
          <w:u w:val="single"/>
        </w:rPr>
        <w:t>Stundenlohnarbeiten (§ 15)</w:t>
      </w:r>
    </w:p>
    <w:p w:rsidR="00A4169A" w:rsidRDefault="007118E3">
      <w:pPr>
        <w:numPr>
          <w:ilvl w:val="1"/>
          <w:numId w:val="1"/>
        </w:numPr>
        <w:ind w:left="426" w:hanging="426"/>
        <w:jc w:val="both"/>
        <w:rPr>
          <w:sz w:val="18"/>
          <w:szCs w:val="18"/>
        </w:rPr>
      </w:pPr>
      <w:r>
        <w:rPr>
          <w:sz w:val="18"/>
          <w:szCs w:val="18"/>
        </w:rPr>
        <w:tab/>
        <w:t xml:space="preserve">Stundenlohnarbeiten dürfen nur auf besondere schriftliche Anordnung der Bauleitung vorgenommen werden. Die Stundenlohnbescheinigungen sind täglich, spätestens </w:t>
      </w:r>
      <w:proofErr w:type="gramStart"/>
      <w:r>
        <w:rPr>
          <w:sz w:val="18"/>
          <w:szCs w:val="18"/>
        </w:rPr>
        <w:t>am folgenden Werktage</w:t>
      </w:r>
      <w:proofErr w:type="gramEnd"/>
      <w:r>
        <w:rPr>
          <w:sz w:val="18"/>
          <w:szCs w:val="18"/>
        </w:rPr>
        <w:t xml:space="preserve"> der Bauleitung zur Anerkennung vorzulegen. Für die zu einem späteren Zeitpunkt vorgelegten Bescheinigungen kann die Anerkennung versagt werden. Bei Stundenlohnarbeiten werden keine Polier- und Vorarbeiterstunden anerkannt, es sei denn, der Bauleiter fordert für schwierige Arbeiten ausdrücklich einen Polier bzw. einen Vorarbeiter an oder die Aufsicht ist nach den einschlägigen Unfallverhütungsvorschriften notwendig.</w:t>
      </w:r>
    </w:p>
    <w:p w:rsidR="00A4169A" w:rsidRDefault="007118E3">
      <w:pPr>
        <w:numPr>
          <w:ilvl w:val="0"/>
          <w:numId w:val="1"/>
        </w:numPr>
        <w:tabs>
          <w:tab w:val="clear" w:pos="425"/>
        </w:tabs>
        <w:spacing w:before="60"/>
        <w:ind w:left="426" w:hanging="426"/>
        <w:jc w:val="both"/>
        <w:rPr>
          <w:b/>
          <w:bCs/>
          <w:sz w:val="18"/>
          <w:szCs w:val="18"/>
          <w:u w:val="single"/>
        </w:rPr>
      </w:pPr>
      <w:r>
        <w:rPr>
          <w:b/>
          <w:bCs/>
          <w:sz w:val="18"/>
          <w:szCs w:val="18"/>
          <w:u w:val="single"/>
        </w:rPr>
        <w:t>Weitere Ergänzende Besondere Vertragsbedingungen</w:t>
      </w:r>
    </w:p>
    <w:p w:rsidR="00A4169A" w:rsidRDefault="007118E3">
      <w:pPr>
        <w:tabs>
          <w:tab w:val="left" w:pos="426"/>
        </w:tabs>
        <w:jc w:val="both"/>
        <w:rPr>
          <w:sz w:val="18"/>
          <w:szCs w:val="18"/>
        </w:rPr>
      </w:pPr>
      <w:r>
        <w:rPr>
          <w:sz w:val="18"/>
          <w:szCs w:val="18"/>
        </w:rPr>
        <w:tab/>
      </w:r>
      <w:r>
        <w:rPr>
          <w:sz w:val="18"/>
          <w:szCs w:val="18"/>
        </w:rPr>
        <w:fldChar w:fldCharType="begin">
          <w:ffData>
            <w:name w:val="Text7"/>
            <w:enabled/>
            <w:calcOnExit w:val="0"/>
            <w:textInput>
              <w:default w:val="Keine."/>
            </w:textInput>
          </w:ffData>
        </w:fldChar>
      </w:r>
      <w:bookmarkStart w:id="2" w:name="Text7"/>
      <w:r>
        <w:rPr>
          <w:sz w:val="18"/>
          <w:szCs w:val="18"/>
        </w:rPr>
        <w:instrText xml:space="preserve"> FORMTEXT </w:instrText>
      </w:r>
      <w:r>
        <w:rPr>
          <w:sz w:val="18"/>
          <w:szCs w:val="18"/>
        </w:rPr>
      </w:r>
      <w:r>
        <w:rPr>
          <w:sz w:val="18"/>
          <w:szCs w:val="18"/>
        </w:rPr>
        <w:fldChar w:fldCharType="separate"/>
      </w:r>
      <w:r>
        <w:rPr>
          <w:noProof/>
          <w:sz w:val="18"/>
          <w:szCs w:val="18"/>
        </w:rPr>
        <w:t>Keine.</w:t>
      </w:r>
      <w:r>
        <w:rPr>
          <w:sz w:val="18"/>
          <w:szCs w:val="18"/>
        </w:rPr>
        <w:fldChar w:fldCharType="end"/>
      </w:r>
      <w:bookmarkEnd w:id="2"/>
    </w:p>
    <w:p w:rsidR="007118E3" w:rsidRDefault="007118E3">
      <w:pPr>
        <w:ind w:left="426"/>
        <w:jc w:val="both"/>
        <w:rPr>
          <w:i/>
          <w:iCs/>
          <w:sz w:val="18"/>
          <w:szCs w:val="18"/>
        </w:rPr>
      </w:pPr>
      <w:r>
        <w:rPr>
          <w:i/>
          <w:sz w:val="18"/>
          <w:szCs w:val="18"/>
        </w:rPr>
        <w:fldChar w:fldCharType="begin">
          <w:ffData>
            <w:name w:val="Text9"/>
            <w:enabled/>
            <w:calcOnExit w:val="0"/>
            <w:textInput>
              <w:default w:val="Hinweis: Die Bedingungen sind zu nummerieren; werden keine weiteren Bedingungen aufgenommen, ist zu schreiben: Keine. Der Rest der Seite ist so zu sperren, dass keine Eintragungen vorgenommen werden können."/>
            </w:textInput>
          </w:ffData>
        </w:fldChar>
      </w:r>
      <w:bookmarkStart w:id="3" w:name="Text9"/>
      <w:r>
        <w:rPr>
          <w:i/>
          <w:sz w:val="18"/>
          <w:szCs w:val="18"/>
        </w:rPr>
        <w:instrText xml:space="preserve"> FORMTEXT </w:instrText>
      </w:r>
      <w:r>
        <w:rPr>
          <w:i/>
          <w:sz w:val="18"/>
          <w:szCs w:val="18"/>
        </w:rPr>
      </w:r>
      <w:r>
        <w:rPr>
          <w:i/>
          <w:sz w:val="18"/>
          <w:szCs w:val="18"/>
        </w:rPr>
        <w:fldChar w:fldCharType="separate"/>
      </w:r>
      <w:r>
        <w:rPr>
          <w:i/>
          <w:noProof/>
          <w:sz w:val="18"/>
          <w:szCs w:val="18"/>
        </w:rPr>
        <w:t>Hinweis: Die Bedingungen sind zu nummerieren; werden keine weiteren Bedingungen aufgenommen, ist zu schreiben: Keine. Der Rest der Seite ist so zu sperren, dass keine Eintragungen vorgenommen werden können.</w:t>
      </w:r>
      <w:r>
        <w:rPr>
          <w:i/>
          <w:sz w:val="18"/>
          <w:szCs w:val="18"/>
        </w:rPr>
        <w:fldChar w:fldCharType="end"/>
      </w:r>
      <w:bookmarkEnd w:id="3"/>
      <w:r>
        <w:rPr>
          <w:b/>
          <w:bCs/>
          <w:i/>
          <w:noProof/>
          <w:sz w:val="18"/>
          <w:szCs w:val="18"/>
        </w:rPr>
        <mc:AlternateContent>
          <mc:Choice Requires="wps">
            <w:drawing>
              <wp:anchor distT="0" distB="0" distL="114300" distR="114300" simplePos="0" relativeHeight="251659776" behindDoc="1" locked="0" layoutInCell="1" allowOverlap="1">
                <wp:simplePos x="0" y="0"/>
                <wp:positionH relativeFrom="column">
                  <wp:posOffset>17145</wp:posOffset>
                </wp:positionH>
                <wp:positionV relativeFrom="paragraph">
                  <wp:posOffset>306070</wp:posOffset>
                </wp:positionV>
                <wp:extent cx="6299835" cy="342900"/>
                <wp:effectExtent l="0" t="0" r="0" b="0"/>
                <wp:wrapTight wrapText="bothSides">
                  <wp:wrapPolygon edited="0">
                    <wp:start x="-65" y="-200"/>
                    <wp:lineTo x="-65" y="200"/>
                    <wp:lineTo x="9216" y="9400"/>
                    <wp:lineTo x="9347" y="9400"/>
                    <wp:lineTo x="8724" y="12600"/>
                    <wp:lineTo x="8299" y="13000"/>
                    <wp:lineTo x="5524" y="15600"/>
                    <wp:lineTo x="5099" y="16200"/>
                    <wp:lineTo x="2321" y="18800"/>
                    <wp:lineTo x="1894" y="19400"/>
                    <wp:lineTo x="-65" y="21200"/>
                    <wp:lineTo x="-65" y="21400"/>
                    <wp:lineTo x="21633" y="21400"/>
                    <wp:lineTo x="21633" y="21200"/>
                    <wp:lineTo x="19671" y="19400"/>
                    <wp:lineTo x="19246" y="18800"/>
                    <wp:lineTo x="16471" y="16200"/>
                    <wp:lineTo x="16046" y="15600"/>
                    <wp:lineTo x="13268" y="13000"/>
                    <wp:lineTo x="12841" y="12600"/>
                    <wp:lineTo x="12221" y="9400"/>
                    <wp:lineTo x="12351" y="9400"/>
                    <wp:lineTo x="21633" y="200"/>
                    <wp:lineTo x="21633" y="-200"/>
                    <wp:lineTo x="-65" y="-200"/>
                  </wp:wrapPolygon>
                </wp:wrapTight>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835" cy="342900"/>
                        </a:xfrm>
                        <a:prstGeom prst="flowChartCollat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DFC9A9" id="_x0000_t125" coordsize="21600,21600" o:spt="125" path="m21600,21600l,21600,21600,,,xe">
                <v:stroke joinstyle="miter"/>
                <v:path o:extrusionok="f" gradientshapeok="t" o:connecttype="custom" o:connectlocs="10800,0;10800,10800;10800,21600" textboxrect="5400,5400,16200,16200"/>
              </v:shapetype>
              <v:shape id="AutoShape 18" o:spid="_x0000_s1026" type="#_x0000_t125" style="position:absolute;margin-left:1.35pt;margin-top:24.1pt;width:496.05pt;height: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">
                <w10:wrap type="tight"/>
              </v:shape>
            </w:pict>
          </mc:Fallback>
        </mc:AlternateContent>
      </w:r>
    </w:p>
    <w:sectPr w:rsidR="007118E3">
      <w:footerReference w:type="default" r:id="rId7"/>
      <w:pgSz w:w="11909" w:h="16834" w:code="9"/>
      <w:pgMar w:top="885" w:right="851" w:bottom="680" w:left="1134" w:header="720"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022C" w:rsidRDefault="0043022C">
      <w:r>
        <w:separator/>
      </w:r>
    </w:p>
  </w:endnote>
  <w:endnote w:type="continuationSeparator" w:id="0">
    <w:p w:rsidR="0043022C" w:rsidRDefault="0043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E1)">
    <w:altName w:val="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69A" w:rsidRDefault="007118E3">
    <w:pPr>
      <w:pStyle w:val="Fuzeile"/>
      <w:tabs>
        <w:tab w:val="clear" w:pos="4536"/>
        <w:tab w:val="clear" w:pos="9072"/>
        <w:tab w:val="right" w:pos="9923"/>
      </w:tabs>
      <w:rPr>
        <w:rFonts w:ascii="Arial" w:hAnsi="Arial" w:cs="Arial"/>
        <w:color w:val="999999"/>
        <w:sz w:val="14"/>
        <w:szCs w:val="14"/>
      </w:rPr>
    </w:pPr>
    <w:r>
      <w:rPr>
        <w:rFonts w:ascii="Arial" w:hAnsi="Arial" w:cs="Arial"/>
        <w:snapToGrid w:val="0"/>
        <w:color w:val="999999"/>
        <w:sz w:val="14"/>
        <w:szCs w:val="14"/>
      </w:rPr>
      <w:fldChar w:fldCharType="begin"/>
    </w:r>
    <w:r>
      <w:rPr>
        <w:rFonts w:ascii="Arial" w:hAnsi="Arial" w:cs="Arial"/>
        <w:snapToGrid w:val="0"/>
        <w:color w:val="999999"/>
        <w:sz w:val="14"/>
        <w:szCs w:val="14"/>
      </w:rPr>
      <w:instrText xml:space="preserve"> FILENAME </w:instrText>
    </w:r>
    <w:r>
      <w:rPr>
        <w:rFonts w:ascii="Arial" w:hAnsi="Arial" w:cs="Arial"/>
        <w:snapToGrid w:val="0"/>
        <w:color w:val="999999"/>
        <w:sz w:val="14"/>
        <w:szCs w:val="14"/>
      </w:rPr>
      <w:fldChar w:fldCharType="separate"/>
    </w:r>
    <w:r>
      <w:rPr>
        <w:rFonts w:ascii="Arial" w:hAnsi="Arial" w:cs="Arial"/>
        <w:noProof/>
        <w:snapToGrid w:val="0"/>
        <w:color w:val="999999"/>
        <w:sz w:val="14"/>
        <w:szCs w:val="14"/>
      </w:rPr>
      <w:t>Dokument1</w:t>
    </w:r>
    <w:r>
      <w:rPr>
        <w:rFonts w:ascii="Arial" w:hAnsi="Arial" w:cs="Arial"/>
        <w:snapToGrid w:val="0"/>
        <w:color w:val="999999"/>
        <w:sz w:val="14"/>
        <w:szCs w:val="14"/>
      </w:rPr>
      <w:fldChar w:fldCharType="end"/>
    </w:r>
    <w:r>
      <w:rPr>
        <w:rFonts w:ascii="Arial" w:hAnsi="Arial" w:cs="Arial"/>
        <w:color w:val="999999"/>
        <w:sz w:val="14"/>
        <w:szCs w:val="14"/>
      </w:rPr>
      <w:tab/>
    </w:r>
    <w:r>
      <w:rPr>
        <w:rFonts w:ascii="Arial" w:hAnsi="Arial" w:cs="Arial"/>
        <w:snapToGrid w:val="0"/>
        <w:color w:val="999999"/>
        <w:sz w:val="14"/>
        <w:szCs w:val="14"/>
      </w:rPr>
      <w:t xml:space="preserve">Seite </w:t>
    </w:r>
    <w:r>
      <w:rPr>
        <w:rFonts w:ascii="Arial" w:hAnsi="Arial" w:cs="Arial"/>
        <w:snapToGrid w:val="0"/>
        <w:color w:val="999999"/>
        <w:sz w:val="14"/>
        <w:szCs w:val="14"/>
      </w:rPr>
      <w:fldChar w:fldCharType="begin"/>
    </w:r>
    <w:r>
      <w:rPr>
        <w:rFonts w:ascii="Arial" w:hAnsi="Arial" w:cs="Arial"/>
        <w:snapToGrid w:val="0"/>
        <w:color w:val="999999"/>
        <w:sz w:val="14"/>
        <w:szCs w:val="14"/>
      </w:rPr>
      <w:instrText xml:space="preserve"> PAGE </w:instrText>
    </w:r>
    <w:r>
      <w:rPr>
        <w:rFonts w:ascii="Arial" w:hAnsi="Arial" w:cs="Arial"/>
        <w:snapToGrid w:val="0"/>
        <w:color w:val="999999"/>
        <w:sz w:val="14"/>
        <w:szCs w:val="14"/>
      </w:rPr>
      <w:fldChar w:fldCharType="separate"/>
    </w:r>
    <w:r>
      <w:rPr>
        <w:rFonts w:ascii="Arial" w:hAnsi="Arial" w:cs="Arial"/>
        <w:noProof/>
        <w:snapToGrid w:val="0"/>
        <w:color w:val="999999"/>
        <w:sz w:val="14"/>
        <w:szCs w:val="14"/>
      </w:rPr>
      <w:t>1</w:t>
    </w:r>
    <w:r>
      <w:rPr>
        <w:rFonts w:ascii="Arial" w:hAnsi="Arial" w:cs="Arial"/>
        <w:snapToGrid w:val="0"/>
        <w:color w:val="999999"/>
        <w:sz w:val="14"/>
        <w:szCs w:val="14"/>
      </w:rPr>
      <w:fldChar w:fldCharType="end"/>
    </w:r>
    <w:r>
      <w:rPr>
        <w:rFonts w:ascii="Arial" w:hAnsi="Arial" w:cs="Arial"/>
        <w:snapToGrid w:val="0"/>
        <w:color w:val="999999"/>
        <w:sz w:val="14"/>
        <w:szCs w:val="14"/>
      </w:rPr>
      <w:t xml:space="preserve"> von </w:t>
    </w:r>
    <w:r>
      <w:rPr>
        <w:rFonts w:ascii="Arial" w:hAnsi="Arial" w:cs="Arial"/>
        <w:snapToGrid w:val="0"/>
        <w:color w:val="999999"/>
        <w:sz w:val="14"/>
        <w:szCs w:val="14"/>
      </w:rPr>
      <w:fldChar w:fldCharType="begin"/>
    </w:r>
    <w:r>
      <w:rPr>
        <w:rFonts w:ascii="Arial" w:hAnsi="Arial" w:cs="Arial"/>
        <w:snapToGrid w:val="0"/>
        <w:color w:val="999999"/>
        <w:sz w:val="14"/>
        <w:szCs w:val="14"/>
      </w:rPr>
      <w:instrText xml:space="preserve"> NUMPAGES </w:instrText>
    </w:r>
    <w:r>
      <w:rPr>
        <w:rFonts w:ascii="Arial" w:hAnsi="Arial" w:cs="Arial"/>
        <w:snapToGrid w:val="0"/>
        <w:color w:val="999999"/>
        <w:sz w:val="14"/>
        <w:szCs w:val="14"/>
      </w:rPr>
      <w:fldChar w:fldCharType="separate"/>
    </w:r>
    <w:r>
      <w:rPr>
        <w:rFonts w:ascii="Arial" w:hAnsi="Arial" w:cs="Arial"/>
        <w:noProof/>
        <w:snapToGrid w:val="0"/>
        <w:color w:val="999999"/>
        <w:sz w:val="14"/>
        <w:szCs w:val="14"/>
      </w:rPr>
      <w:t>1</w:t>
    </w:r>
    <w:r>
      <w:rPr>
        <w:rFonts w:ascii="Arial" w:hAnsi="Arial" w:cs="Arial"/>
        <w:snapToGrid w:val="0"/>
        <w:color w:val="999999"/>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022C" w:rsidRDefault="0043022C">
      <w:r>
        <w:separator/>
      </w:r>
    </w:p>
  </w:footnote>
  <w:footnote w:type="continuationSeparator" w:id="0">
    <w:p w:rsidR="0043022C" w:rsidRDefault="00430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0D31"/>
    <w:multiLevelType w:val="multilevel"/>
    <w:tmpl w:val="FBF6B55C"/>
    <w:lvl w:ilvl="0">
      <w:start w:val="1"/>
      <w:numFmt w:val="decimal"/>
      <w:lvlText w:val="%1."/>
      <w:lvlJc w:val="left"/>
      <w:pPr>
        <w:tabs>
          <w:tab w:val="num" w:pos="425"/>
        </w:tabs>
        <w:ind w:left="425" w:hanging="425"/>
      </w:pPr>
      <w:rPr>
        <w:rFonts w:hint="default"/>
        <w:b/>
        <w:i w:val="0"/>
      </w:rPr>
    </w:lvl>
    <w:lvl w:ilvl="1">
      <w:start w:val="1"/>
      <w:numFmt w:val="decimal"/>
      <w:suff w:val="nothing"/>
      <w:lvlText w:val="%1.%2"/>
      <w:lvlJc w:val="left"/>
      <w:pPr>
        <w:ind w:left="425" w:hanging="425"/>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590E08"/>
    <w:multiLevelType w:val="multilevel"/>
    <w:tmpl w:val="84C4E5FA"/>
    <w:lvl w:ilvl="0">
      <w:start w:val="1"/>
      <w:numFmt w:val="decimal"/>
      <w:lvlText w:val="%1."/>
      <w:lvlJc w:val="left"/>
      <w:pPr>
        <w:tabs>
          <w:tab w:val="num" w:pos="425"/>
        </w:tabs>
        <w:ind w:left="425" w:hanging="425"/>
      </w:pPr>
      <w:rPr>
        <w:rFonts w:hint="default"/>
        <w:b/>
        <w:i w:val="0"/>
      </w:rPr>
    </w:lvl>
    <w:lvl w:ilvl="1">
      <w:start w:val="1"/>
      <w:numFmt w:val="decimal"/>
      <w:suff w:val="nothing"/>
      <w:lvlText w:val="%1.%2"/>
      <w:lvlJc w:val="left"/>
      <w:pPr>
        <w:ind w:left="425" w:hanging="425"/>
      </w:pPr>
      <w:rPr>
        <w:rFonts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6034D4E"/>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ABB59B0"/>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B5A224D"/>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3067537"/>
    <w:multiLevelType w:val="multilevel"/>
    <w:tmpl w:val="07826EB2"/>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8936BB4"/>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0A340F"/>
    <w:multiLevelType w:val="multilevel"/>
    <w:tmpl w:val="05F86622"/>
    <w:lvl w:ilvl="0">
      <w:start w:val="1"/>
      <w:numFmt w:val="decimal"/>
      <w:lvlText w:val="%1."/>
      <w:lvlJc w:val="left"/>
      <w:pPr>
        <w:tabs>
          <w:tab w:val="num" w:pos="425"/>
        </w:tabs>
        <w:ind w:left="425" w:hanging="425"/>
      </w:pPr>
      <w:rPr>
        <w:rFonts w:hint="default"/>
        <w:b/>
        <w:i w:val="0"/>
      </w:rPr>
    </w:lvl>
    <w:lvl w:ilvl="1">
      <w:start w:val="1"/>
      <w:numFmt w:val="decimal"/>
      <w:suff w:val="nothing"/>
      <w:lvlText w:val="%1.%2"/>
      <w:lvlJc w:val="left"/>
      <w:pPr>
        <w:ind w:left="425" w:hanging="425"/>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7854623"/>
    <w:multiLevelType w:val="multilevel"/>
    <w:tmpl w:val="3DD48156"/>
    <w:lvl w:ilvl="0">
      <w:start w:val="1"/>
      <w:numFmt w:val="decimal"/>
      <w:lvlText w:val="%1."/>
      <w:lvlJc w:val="left"/>
      <w:pPr>
        <w:tabs>
          <w:tab w:val="num" w:pos="425"/>
        </w:tabs>
        <w:ind w:left="425" w:hanging="425"/>
      </w:pPr>
      <w:rPr>
        <w:rFonts w:hint="default"/>
        <w:b/>
        <w:i w:val="0"/>
      </w:rPr>
    </w:lvl>
    <w:lvl w:ilvl="1">
      <w:start w:val="1"/>
      <w:numFmt w:val="decimal"/>
      <w:suff w:val="nothing"/>
      <w:lvlText w:val="%1.%2  "/>
      <w:lvlJc w:val="left"/>
      <w:pPr>
        <w:ind w:left="0" w:firstLine="0"/>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09A3192"/>
    <w:multiLevelType w:val="multilevel"/>
    <w:tmpl w:val="3DD48156"/>
    <w:lvl w:ilvl="0">
      <w:start w:val="1"/>
      <w:numFmt w:val="decimal"/>
      <w:lvlText w:val="%1."/>
      <w:lvlJc w:val="left"/>
      <w:pPr>
        <w:tabs>
          <w:tab w:val="num" w:pos="425"/>
        </w:tabs>
        <w:ind w:left="425" w:hanging="425"/>
      </w:pPr>
      <w:rPr>
        <w:rFonts w:hint="default"/>
        <w:b/>
        <w:i w:val="0"/>
      </w:rPr>
    </w:lvl>
    <w:lvl w:ilvl="1">
      <w:start w:val="1"/>
      <w:numFmt w:val="decimal"/>
      <w:suff w:val="nothing"/>
      <w:lvlText w:val="%1.%2  "/>
      <w:lvlJc w:val="left"/>
      <w:pPr>
        <w:ind w:left="0" w:firstLine="0"/>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2F17FC6"/>
    <w:multiLevelType w:val="multilevel"/>
    <w:tmpl w:val="A7526522"/>
    <w:lvl w:ilvl="0">
      <w:start w:val="10"/>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A5A3095"/>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5F604174"/>
    <w:multiLevelType w:val="multilevel"/>
    <w:tmpl w:val="B094A200"/>
    <w:lvl w:ilvl="0">
      <w:start w:val="1"/>
      <w:numFmt w:val="decimal"/>
      <w:lvlText w:val="%1."/>
      <w:lvlJc w:val="left"/>
      <w:pPr>
        <w:tabs>
          <w:tab w:val="num" w:pos="425"/>
        </w:tabs>
        <w:ind w:left="425" w:hanging="425"/>
      </w:pPr>
      <w:rPr>
        <w:rFonts w:hint="default"/>
        <w:b/>
        <w:i w:val="0"/>
      </w:rPr>
    </w:lvl>
    <w:lvl w:ilvl="1">
      <w:start w:val="1"/>
      <w:numFmt w:val="decimal"/>
      <w:suff w:val="nothing"/>
      <w:lvlText w:val="%1.%2  "/>
      <w:lvlJc w:val="left"/>
      <w:pPr>
        <w:ind w:left="425" w:hanging="425"/>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C912BD4"/>
    <w:multiLevelType w:val="multilevel"/>
    <w:tmpl w:val="FBF6B55C"/>
    <w:lvl w:ilvl="0">
      <w:start w:val="1"/>
      <w:numFmt w:val="decimal"/>
      <w:lvlText w:val="%1."/>
      <w:lvlJc w:val="left"/>
      <w:pPr>
        <w:tabs>
          <w:tab w:val="num" w:pos="425"/>
        </w:tabs>
        <w:ind w:left="425" w:hanging="425"/>
      </w:pPr>
      <w:rPr>
        <w:rFonts w:hint="default"/>
        <w:b/>
        <w:i w:val="0"/>
      </w:rPr>
    </w:lvl>
    <w:lvl w:ilvl="1">
      <w:start w:val="1"/>
      <w:numFmt w:val="decimal"/>
      <w:suff w:val="nothing"/>
      <w:lvlText w:val="%1.%2"/>
      <w:lvlJc w:val="left"/>
      <w:pPr>
        <w:ind w:left="425" w:hanging="425"/>
      </w:pPr>
      <w:rPr>
        <w:rFonts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4"/>
  </w:num>
  <w:num w:numId="3">
    <w:abstractNumId w:val="3"/>
  </w:num>
  <w:num w:numId="4">
    <w:abstractNumId w:val="2"/>
  </w:num>
  <w:num w:numId="5">
    <w:abstractNumId w:val="11"/>
  </w:num>
  <w:num w:numId="6">
    <w:abstractNumId w:val="6"/>
  </w:num>
  <w:num w:numId="7">
    <w:abstractNumId w:val="10"/>
  </w:num>
  <w:num w:numId="8">
    <w:abstractNumId w:val="5"/>
  </w:num>
  <w:num w:numId="9">
    <w:abstractNumId w:val="8"/>
  </w:num>
  <w:num w:numId="10">
    <w:abstractNumId w:val="9"/>
  </w:num>
  <w:num w:numId="11">
    <w:abstractNumId w:val="12"/>
  </w:num>
  <w:num w:numId="12">
    <w:abstractNumId w:val="7"/>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8E3"/>
    <w:rsid w:val="0043022C"/>
    <w:rsid w:val="006241C2"/>
    <w:rsid w:val="006E3BFC"/>
    <w:rsid w:val="007118E3"/>
    <w:rsid w:val="008205FD"/>
    <w:rsid w:val="009375A1"/>
    <w:rsid w:val="00A4169A"/>
    <w:rsid w:val="00AA11B7"/>
    <w:rsid w:val="00B71C8D"/>
    <w:rsid w:val="00D56B28"/>
    <w:rsid w:val="00FF12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03FC3"/>
  <w15:chartTrackingRefBased/>
  <w15:docId w15:val="{3FDC45B3-FD74-4845-A848-241EB1A06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sz w:val="24"/>
    </w:rPr>
  </w:style>
  <w:style w:type="paragraph" w:styleId="berschrift1">
    <w:name w:val="heading 1"/>
    <w:basedOn w:val="Standard"/>
    <w:next w:val="Standard"/>
    <w:qFormat/>
    <w:pPr>
      <w:keepNext/>
      <w:tabs>
        <w:tab w:val="left" w:pos="0"/>
        <w:tab w:val="left" w:pos="357"/>
        <w:tab w:val="right" w:pos="2900"/>
      </w:tabs>
      <w:outlineLvl w:val="0"/>
    </w:pPr>
    <w:rPr>
      <w:rFonts w:ascii="Univers (E1)" w:hAnsi="Univers (E1)"/>
      <w:sz w:val="30"/>
    </w:rPr>
  </w:style>
  <w:style w:type="paragraph" w:styleId="berschrift2">
    <w:name w:val="heading 2"/>
    <w:basedOn w:val="Standard"/>
    <w:next w:val="Standard"/>
    <w:qFormat/>
    <w:pPr>
      <w:keepNext/>
      <w:pBdr>
        <w:top w:val="thinThickLargeGap" w:sz="24" w:space="6" w:color="333333"/>
        <w:bottom w:val="thickThinLargeGap" w:sz="24" w:space="7" w:color="333333"/>
      </w:pBdr>
      <w:tabs>
        <w:tab w:val="left" w:pos="9498"/>
      </w:tabs>
      <w:ind w:left="426" w:hanging="426"/>
      <w:jc w:val="both"/>
      <w:outlineLvl w:val="1"/>
    </w:pPr>
    <w:rPr>
      <w:b/>
      <w:spacing w:val="-5"/>
      <w:sz w:val="3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pPr>
      <w:tabs>
        <w:tab w:val="left" w:pos="0"/>
        <w:tab w:val="left" w:pos="357"/>
        <w:tab w:val="right" w:pos="2900"/>
      </w:tabs>
      <w:ind w:left="357"/>
    </w:pPr>
    <w:rPr>
      <w:rFonts w:ascii="Univers (E1)" w:hAnsi="Univers (E1)"/>
      <w:sz w:val="18"/>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674</Words>
  <Characters>4606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Baumassnahme</vt:lpstr>
    </vt:vector>
  </TitlesOfParts>
  <Company>Stadt Haltern</Company>
  <LinksUpToDate>false</LinksUpToDate>
  <CharactersWithSpaces>5270</CharactersWithSpaces>
  <SharedDoc>false</SharedDoc>
  <HLinks>
    <vt:vector size="6" baseType="variant">
      <vt:variant>
        <vt:i4>983048</vt:i4>
      </vt:variant>
      <vt:variant>
        <vt:i4>-1</vt:i4>
      </vt:variant>
      <vt:variant>
        <vt:i4>1037</vt:i4>
      </vt:variant>
      <vt:variant>
        <vt:i4>1</vt:i4>
      </vt:variant>
      <vt:variant>
        <vt:lpwstr>logoblack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Baumassnahme</dc:title>
  <dc:subject/>
  <dc:creator>Schulz, Silke</dc:creator>
  <cp:keywords/>
  <dc:description/>
  <cp:lastModifiedBy>Wittman, Pascal</cp:lastModifiedBy>
  <cp:revision>7</cp:revision>
  <cp:lastPrinted>2002-06-04T14:00:00Z</cp:lastPrinted>
  <dcterms:created xsi:type="dcterms:W3CDTF">2025-10-08T13:25:00Z</dcterms:created>
  <dcterms:modified xsi:type="dcterms:W3CDTF">2026-07-08T07:21:00Z</dcterms:modified>
</cp:coreProperties>
</file>